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4E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Operator economic</w:t>
      </w:r>
    </w:p>
    <w:p w:rsidR="00C7739C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.........................</w:t>
      </w:r>
      <w:r w:rsidR="00C7739C" w:rsidRPr="00C7739C">
        <w:rPr>
          <w:lang w:val="en-US"/>
        </w:rPr>
        <w:t xml:space="preserve"> </w:t>
      </w:r>
      <w:r w:rsidR="00C7739C" w:rsidRPr="006E3C4E">
        <w:rPr>
          <w:lang w:val="en-US"/>
        </w:rPr>
        <w:t>(</w:t>
      </w:r>
      <w:proofErr w:type="spellStart"/>
      <w:r w:rsidR="00C7739C" w:rsidRPr="006E3C4E">
        <w:rPr>
          <w:lang w:val="en-US"/>
        </w:rPr>
        <w:t>denumirea</w:t>
      </w:r>
      <w:proofErr w:type="spellEnd"/>
      <w:r w:rsidR="00C7739C" w:rsidRPr="006E3C4E">
        <w:rPr>
          <w:lang w:val="en-US"/>
        </w:rPr>
        <w:t>)</w:t>
      </w:r>
    </w:p>
    <w:p w:rsidR="006E3C4E" w:rsidRPr="006E3C4E" w:rsidRDefault="006E3C4E" w:rsidP="00C7739C">
      <w:pPr>
        <w:jc w:val="both"/>
        <w:rPr>
          <w:lang w:val="en-US"/>
        </w:rPr>
      </w:pPr>
    </w:p>
    <w:p w:rsidR="006E3C4E" w:rsidRPr="006E3C4E" w:rsidRDefault="006E3C4E" w:rsidP="00C7739C">
      <w:pPr>
        <w:jc w:val="center"/>
        <w:rPr>
          <w:lang w:val="en-US"/>
        </w:rPr>
      </w:pPr>
      <w:r w:rsidRPr="006E3C4E">
        <w:rPr>
          <w:lang w:val="en-US"/>
        </w:rPr>
        <w:t>FORMULAR DE OFERTĂ</w:t>
      </w:r>
    </w:p>
    <w:p w:rsidR="006E3C4E" w:rsidRPr="006E3C4E" w:rsidRDefault="006E3C4E" w:rsidP="00C7739C">
      <w:pPr>
        <w:jc w:val="both"/>
        <w:rPr>
          <w:lang w:val="en-US"/>
        </w:rPr>
      </w:pPr>
      <w:proofErr w:type="spellStart"/>
      <w:r w:rsidRPr="006E3C4E">
        <w:rPr>
          <w:lang w:val="en-US"/>
        </w:rPr>
        <w:t>Către</w:t>
      </w:r>
      <w:proofErr w:type="spellEnd"/>
      <w:r w:rsidRPr="006E3C4E">
        <w:rPr>
          <w:lang w:val="en-US"/>
        </w:rPr>
        <w:t xml:space="preserve"> .......................................................................................................</w:t>
      </w:r>
    </w:p>
    <w:p w:rsidR="006E3C4E" w:rsidRPr="006E3C4E" w:rsidRDefault="006E3C4E" w:rsidP="00C7739C">
      <w:pPr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autorităţii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contractante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adresa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completă</w:t>
      </w:r>
      <w:proofErr w:type="spellEnd"/>
      <w:r w:rsidRPr="006E3C4E">
        <w:rPr>
          <w:i/>
          <w:lang w:val="en-US"/>
        </w:rPr>
        <w:t>)</w:t>
      </w:r>
    </w:p>
    <w:p w:rsidR="006E3C4E" w:rsidRPr="000276C0" w:rsidRDefault="006E3C4E" w:rsidP="00C7739C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6E3C4E">
        <w:rPr>
          <w:lang w:val="en-US"/>
        </w:rPr>
        <w:t xml:space="preserve">1. </w:t>
      </w:r>
      <w:proofErr w:type="spellStart"/>
      <w:r w:rsidRPr="006E3C4E">
        <w:rPr>
          <w:lang w:val="en-US"/>
        </w:rPr>
        <w:t>Examinând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invitatia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participare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subsemnaţii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reprezentanţi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.....................................................................................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numele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ofertantului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ne </w:t>
      </w:r>
      <w:proofErr w:type="spellStart"/>
      <w:r w:rsidRPr="006E3C4E">
        <w:rPr>
          <w:lang w:val="en-US"/>
        </w:rPr>
        <w:t>oferim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conformitate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prevederile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cerinţele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cuprinse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invitatia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participare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furnizăm</w:t>
      </w:r>
      <w:proofErr w:type="spellEnd"/>
      <w:r w:rsidRPr="000276C0">
        <w:rPr>
          <w:rFonts w:cstheme="minorHAnsi"/>
          <w:sz w:val="24"/>
          <w:szCs w:val="24"/>
          <w:lang w:val="en-US"/>
        </w:rPr>
        <w:t>:</w:t>
      </w:r>
    </w:p>
    <w:p w:rsidR="006E3C4E" w:rsidRPr="000276C0" w:rsidRDefault="006E3C4E" w:rsidP="00357D6F">
      <w:pPr>
        <w:rPr>
          <w:rFonts w:cstheme="minorHAnsi"/>
          <w:i/>
          <w:sz w:val="24"/>
          <w:szCs w:val="24"/>
          <w:lang w:val="en-US"/>
        </w:rPr>
      </w:pPr>
      <w:r w:rsidRPr="000276C0">
        <w:rPr>
          <w:rFonts w:cstheme="minorHAnsi"/>
          <w:sz w:val="24"/>
          <w:szCs w:val="24"/>
          <w:lang w:val="en-US"/>
        </w:rPr>
        <w:t xml:space="preserve"> </w:t>
      </w:r>
      <w:r w:rsidR="004C0395" w:rsidRPr="000276C0">
        <w:rPr>
          <w:rFonts w:cstheme="minorHAnsi"/>
          <w:sz w:val="24"/>
          <w:szCs w:val="24"/>
        </w:rPr>
        <w:t>Mobilier</w:t>
      </w:r>
      <w:r w:rsidRPr="000276C0">
        <w:rPr>
          <w:rFonts w:cstheme="minorHAnsi"/>
          <w:sz w:val="24"/>
          <w:szCs w:val="24"/>
        </w:rPr>
        <w:t xml:space="preserve">   pentru </w:t>
      </w:r>
      <w:r w:rsidR="000276C0">
        <w:rPr>
          <w:rFonts w:cstheme="minorHAnsi"/>
          <w:sz w:val="24"/>
          <w:szCs w:val="24"/>
        </w:rPr>
        <w:t>proiectul cu titlul :</w:t>
      </w:r>
      <w:r w:rsidR="00357D6F" w:rsidRPr="000276C0">
        <w:rPr>
          <w:rFonts w:eastAsia="Times New Roman" w:cstheme="minorHAnsi"/>
          <w:sz w:val="24"/>
          <w:szCs w:val="24"/>
        </w:rPr>
        <w:t xml:space="preserve"> „</w:t>
      </w:r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ECO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tranziția</w:t>
      </w:r>
      <w:proofErr w:type="spellEnd"/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: de la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teorie</w:t>
      </w:r>
      <w:proofErr w:type="spellEnd"/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 la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practică</w:t>
      </w:r>
      <w:proofErr w:type="spellEnd"/>
      <w:r w:rsidR="00357D6F" w:rsidRPr="000276C0">
        <w:rPr>
          <w:rFonts w:eastAsia="Times New Roman" w:cstheme="minorHAnsi"/>
          <w:sz w:val="24"/>
          <w:szCs w:val="24"/>
        </w:rPr>
        <w:t>“ Cod SMIS: 312365</w:t>
      </w:r>
      <w:r w:rsidR="000276C0">
        <w:rPr>
          <w:rFonts w:eastAsia="Times New Roman" w:cstheme="minorHAnsi"/>
          <w:sz w:val="24"/>
          <w:szCs w:val="24"/>
        </w:rPr>
        <w:t xml:space="preserve">, </w:t>
      </w:r>
      <w:bookmarkStart w:id="0" w:name="_GoBack"/>
      <w:bookmarkEnd w:id="0"/>
      <w:proofErr w:type="spellStart"/>
      <w:r w:rsidRPr="000276C0">
        <w:rPr>
          <w:rFonts w:cstheme="minorHAnsi"/>
          <w:sz w:val="24"/>
          <w:szCs w:val="24"/>
          <w:lang w:val="en-US"/>
        </w:rPr>
        <w:t>pentru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</w:t>
      </w:r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r w:rsidRPr="000276C0">
        <w:rPr>
          <w:rFonts w:cstheme="minorHAnsi"/>
          <w:sz w:val="24"/>
          <w:szCs w:val="24"/>
          <w:lang w:val="en-US"/>
        </w:rPr>
        <w:t xml:space="preserve">..............................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platibilă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după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finalizarea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livrarilor</w:t>
      </w:r>
      <w:proofErr w:type="spellEnd"/>
      <w:r w:rsidRPr="000276C0">
        <w:rPr>
          <w:rFonts w:cstheme="minorHAnsi"/>
          <w:sz w:val="24"/>
          <w:szCs w:val="24"/>
          <w:lang w:val="en-US"/>
        </w:rPr>
        <w:t>,</w:t>
      </w:r>
      <w:r w:rsidRPr="000276C0">
        <w:rPr>
          <w:rFonts w:cstheme="minorHAnsi"/>
          <w:i/>
          <w:sz w:val="24"/>
          <w:szCs w:val="24"/>
          <w:lang w:val="en-US"/>
        </w:rPr>
        <w:t xml:space="preserve"> 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ofertei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>)</w:t>
      </w:r>
      <w:r w:rsidRPr="000276C0">
        <w:rPr>
          <w:rFonts w:cstheme="minorHAnsi"/>
          <w:sz w:val="24"/>
          <w:szCs w:val="24"/>
          <w:lang w:val="en-US"/>
        </w:rPr>
        <w:t xml:space="preserve">, la care se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adaugă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TVA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valoare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...................................... </w:t>
      </w:r>
      <w:r w:rsidRPr="000276C0">
        <w:rPr>
          <w:rFonts w:cstheme="minorHAnsi"/>
          <w:i/>
          <w:sz w:val="24"/>
          <w:szCs w:val="24"/>
          <w:lang w:val="en-US"/>
        </w:rPr>
        <w:t>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). </w:t>
      </w:r>
    </w:p>
    <w:p w:rsidR="006E3C4E" w:rsidRDefault="006E3C4E" w:rsidP="00C7739C">
      <w:pPr>
        <w:spacing w:after="0"/>
        <w:jc w:val="both"/>
        <w:rPr>
          <w:i/>
          <w:lang w:val="en-US"/>
        </w:rPr>
      </w:pPr>
      <w:bookmarkStart w:id="1" w:name="_heading=h.gjdgxs" w:colFirst="0" w:colLast="0"/>
      <w:bookmarkEnd w:id="1"/>
      <w:proofErr w:type="spellStart"/>
      <w:r w:rsidRPr="006E3C4E">
        <w:rPr>
          <w:i/>
          <w:lang w:val="en-US"/>
        </w:rPr>
        <w:t>Detalierea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preturilor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unitare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propunere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financiara</w:t>
      </w:r>
      <w:proofErr w:type="spellEnd"/>
      <w:r w:rsidRPr="006E3C4E">
        <w:rPr>
          <w:i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1129"/>
        <w:gridCol w:w="1529"/>
        <w:gridCol w:w="1275"/>
        <w:gridCol w:w="635"/>
        <w:gridCol w:w="1017"/>
        <w:gridCol w:w="826"/>
        <w:gridCol w:w="1185"/>
        <w:gridCol w:w="1185"/>
      </w:tblGrid>
      <w:tr w:rsidR="004C0395" w:rsidRPr="004C0395" w:rsidTr="004C0395">
        <w:trPr>
          <w:trHeight w:val="1695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  <w:rPr>
                <w:lang w:val="en-US"/>
              </w:rPr>
            </w:pPr>
            <w:r w:rsidRPr="004C0395">
              <w:t>Nr. crt.</w:t>
            </w:r>
          </w:p>
        </w:tc>
        <w:tc>
          <w:tcPr>
            <w:tcW w:w="115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proiect 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Denumirea obiectului </w:t>
            </w:r>
            <w:proofErr w:type="spellStart"/>
            <w:r w:rsidRPr="004C0395">
              <w:t>achiziţiei</w:t>
            </w:r>
            <w:proofErr w:type="spellEnd"/>
            <w:r w:rsidRPr="004C0395">
              <w:t xml:space="preserve"> (caracteristici </w:t>
            </w:r>
            <w:proofErr w:type="spellStart"/>
            <w:r w:rsidRPr="004C0395">
              <w:t>tehnico</w:t>
            </w:r>
            <w:proofErr w:type="spellEnd"/>
            <w:r w:rsidRPr="004C0395">
              <w:t xml:space="preserve"> -</w:t>
            </w:r>
            <w:proofErr w:type="spellStart"/>
            <w:r w:rsidRPr="004C0395">
              <w:t>funcţionale</w:t>
            </w:r>
            <w:proofErr w:type="spellEnd"/>
            <w:r w:rsidRPr="004C0395">
              <w:t xml:space="preserve">, </w:t>
            </w:r>
            <w:proofErr w:type="spellStart"/>
            <w:r w:rsidRPr="004C0395">
              <w:t>operaţionale</w:t>
            </w:r>
            <w:proofErr w:type="spellEnd"/>
            <w:r w:rsidRPr="004C0395">
              <w:t xml:space="preserve"> etc.)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CPV 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UM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Cantitate</w:t>
            </w:r>
          </w:p>
        </w:tc>
        <w:tc>
          <w:tcPr>
            <w:tcW w:w="844" w:type="dxa"/>
            <w:hideMark/>
          </w:tcPr>
          <w:p w:rsidR="004C0395" w:rsidRPr="004C0395" w:rsidRDefault="004C0395" w:rsidP="004C0395">
            <w:pPr>
              <w:jc w:val="both"/>
            </w:pPr>
            <w:proofErr w:type="spellStart"/>
            <w:r w:rsidRPr="004C0395">
              <w:t>Pret</w:t>
            </w:r>
            <w:proofErr w:type="spellEnd"/>
            <w:r w:rsidRPr="004C0395">
              <w:t xml:space="preserve"> unitar lei </w:t>
            </w:r>
            <w:proofErr w:type="spellStart"/>
            <w:r w:rsidRPr="004C0395">
              <w:t>fara</w:t>
            </w:r>
            <w:proofErr w:type="spellEnd"/>
            <w:r w:rsidRPr="004C0395">
              <w:t xml:space="preserve"> TVA</w:t>
            </w:r>
          </w:p>
        </w:tc>
        <w:tc>
          <w:tcPr>
            <w:tcW w:w="1214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Valoare lei fără TVA </w:t>
            </w:r>
          </w:p>
        </w:tc>
        <w:tc>
          <w:tcPr>
            <w:tcW w:w="1214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Valoare TVA lei</w:t>
            </w:r>
          </w:p>
        </w:tc>
      </w:tr>
      <w:tr w:rsidR="004C0395" w:rsidRPr="004C0395" w:rsidTr="004C0395">
        <w:trPr>
          <w:trHeight w:val="3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Mobilier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844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Scaune birou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2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Birouri , 120x750x700 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2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Scaune birou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13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4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Masa ovala consiliu, 300x75x160cm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5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Birouri , 120x750x700 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2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6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Biblioteca modulara 1, 300x227x42 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lastRenderedPageBreak/>
              <w:t>7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Biblioteca modulara 2, 350x227x42 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6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8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Biblioteca modulara 3, 250x227x42 cm</w:t>
            </w:r>
          </w:p>
        </w:tc>
        <w:tc>
          <w:tcPr>
            <w:tcW w:w="1307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39100000-3 Mobilier</w:t>
            </w:r>
          </w:p>
        </w:tc>
        <w:tc>
          <w:tcPr>
            <w:tcW w:w="648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4C0395">
        <w:trPr>
          <w:trHeight w:val="300"/>
        </w:trPr>
        <w:tc>
          <w:tcPr>
            <w:tcW w:w="58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15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2426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Total</w:t>
            </w:r>
          </w:p>
        </w:tc>
        <w:tc>
          <w:tcPr>
            <w:tcW w:w="1307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648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911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84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  <w:tc>
          <w:tcPr>
            <w:tcW w:w="1214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</w:tr>
    </w:tbl>
    <w:p w:rsidR="004C0395" w:rsidRPr="004C0395" w:rsidRDefault="004C0395" w:rsidP="00C7739C">
      <w:pPr>
        <w:spacing w:after="0"/>
        <w:jc w:val="both"/>
        <w:rPr>
          <w:lang w:val="en-US"/>
        </w:rPr>
      </w:pP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2.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cazul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stabilită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livram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produsele</w:t>
      </w:r>
      <w:proofErr w:type="spellEnd"/>
      <w:r w:rsidRPr="006E3C4E">
        <w:rPr>
          <w:lang w:val="en-US"/>
        </w:rPr>
        <w:t xml:space="preserve"> in </w:t>
      </w:r>
      <w:proofErr w:type="spellStart"/>
      <w:r w:rsidRPr="006E3C4E">
        <w:rPr>
          <w:lang w:val="en-US"/>
        </w:rPr>
        <w:t>termen</w:t>
      </w:r>
      <w:proofErr w:type="spellEnd"/>
      <w:r w:rsidRPr="006E3C4E">
        <w:rPr>
          <w:lang w:val="en-US"/>
        </w:rPr>
        <w:t xml:space="preserve"> de 30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 de la data </w:t>
      </w:r>
      <w:proofErr w:type="spellStart"/>
      <w:r w:rsidRPr="006E3C4E">
        <w:rPr>
          <w:lang w:val="en-US"/>
        </w:rPr>
        <w:t>semnarii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3.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menţinem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valabilă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durată</w:t>
      </w:r>
      <w:proofErr w:type="spellEnd"/>
      <w:r w:rsidRPr="006E3C4E">
        <w:rPr>
          <w:lang w:val="en-US"/>
        </w:rPr>
        <w:t xml:space="preserve"> de 60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,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durata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în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litere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cifre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respectiv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data de 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ziua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luna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anul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rămâne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obligatorie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poate</w:t>
      </w:r>
      <w:proofErr w:type="spellEnd"/>
      <w:r w:rsidRPr="006E3C4E">
        <w:rPr>
          <w:lang w:val="en-US"/>
        </w:rPr>
        <w:t xml:space="preserve"> fi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înainte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expirarea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perioadei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valabilitate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4. </w:t>
      </w:r>
      <w:proofErr w:type="spellStart"/>
      <w:r w:rsidRPr="006E3C4E">
        <w:rPr>
          <w:lang w:val="en-US"/>
        </w:rPr>
        <w:t>Precizăm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: </w:t>
      </w:r>
      <w:r w:rsidRPr="006E3C4E">
        <w:rPr>
          <w:i/>
          <w:lang w:val="en-US"/>
        </w:rPr>
        <w:t xml:space="preserve">(se </w:t>
      </w:r>
      <w:proofErr w:type="spellStart"/>
      <w:r w:rsidRPr="006E3C4E">
        <w:rPr>
          <w:i/>
          <w:lang w:val="en-US"/>
        </w:rPr>
        <w:t>bifează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opţiunea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corespunzătoare</w:t>
      </w:r>
      <w:proofErr w:type="spellEnd"/>
      <w:r w:rsidRPr="006E3C4E">
        <w:rPr>
          <w:i/>
          <w:lang w:val="en-US"/>
        </w:rPr>
        <w:t>)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 xml:space="preserve">, ale </w:t>
      </w:r>
      <w:proofErr w:type="spellStart"/>
      <w:r w:rsidRPr="006E3C4E">
        <w:rPr>
          <w:lang w:val="en-US"/>
        </w:rPr>
        <w:t>carei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detalii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sunt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prezentate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</w:t>
      </w:r>
      <w:proofErr w:type="spellEnd"/>
      <w:r w:rsidRPr="006E3C4E">
        <w:rPr>
          <w:lang w:val="en-US"/>
        </w:rPr>
        <w:t xml:space="preserve">-un </w:t>
      </w:r>
      <w:proofErr w:type="spellStart"/>
      <w:r w:rsidRPr="006E3C4E">
        <w:rPr>
          <w:lang w:val="en-US"/>
        </w:rPr>
        <w:t>formular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separat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marcat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mod </w:t>
      </w:r>
      <w:proofErr w:type="spellStart"/>
      <w:r w:rsidRPr="006E3C4E">
        <w:rPr>
          <w:lang w:val="en-US"/>
        </w:rPr>
        <w:t>clar</w:t>
      </w:r>
      <w:proofErr w:type="spellEnd"/>
      <w:r w:rsidRPr="006E3C4E">
        <w:rPr>
          <w:lang w:val="en-US"/>
        </w:rPr>
        <w:t xml:space="preserve"> „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”</w:t>
      </w:r>
      <w:proofErr w:type="gramStart"/>
      <w:r w:rsidRPr="006E3C4E">
        <w:rPr>
          <w:lang w:val="en-US"/>
        </w:rPr>
        <w:t>/”</w:t>
      </w:r>
      <w:proofErr w:type="spellStart"/>
      <w:r w:rsidRPr="006E3C4E">
        <w:rPr>
          <w:lang w:val="en-US"/>
        </w:rPr>
        <w:t>altă</w:t>
      </w:r>
      <w:proofErr w:type="spellEnd"/>
      <w:proofErr w:type="gram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>”.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nu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5.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încheierea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achiziţie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împreună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comunicarea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transmisă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dumneavoastră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prin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fiind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vor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constitui</w:t>
      </w:r>
      <w:proofErr w:type="spellEnd"/>
      <w:r w:rsidRPr="006E3C4E">
        <w:rPr>
          <w:lang w:val="en-US"/>
        </w:rPr>
        <w:t xml:space="preserve"> un contract </w:t>
      </w:r>
      <w:proofErr w:type="spellStart"/>
      <w:r w:rsidRPr="006E3C4E">
        <w:rPr>
          <w:lang w:val="en-US"/>
        </w:rPr>
        <w:t>angajant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7. </w:t>
      </w:r>
      <w:proofErr w:type="spellStart"/>
      <w:r w:rsidRPr="006E3C4E">
        <w:rPr>
          <w:lang w:val="en-US"/>
        </w:rPr>
        <w:t>Înţelegem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sunteţi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cel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scăzut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preţ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primită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Intelegem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achizitorul</w:t>
      </w:r>
      <w:proofErr w:type="spellEnd"/>
      <w:r w:rsidRPr="006E3C4E">
        <w:rPr>
          <w:lang w:val="en-US"/>
        </w:rPr>
        <w:t xml:space="preserve"> are </w:t>
      </w:r>
      <w:proofErr w:type="spellStart"/>
      <w:r w:rsidRPr="006E3C4E">
        <w:rPr>
          <w:lang w:val="en-US"/>
        </w:rPr>
        <w:t>deplina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decizie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selectarea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castigator, </w:t>
      </w:r>
      <w:proofErr w:type="spellStart"/>
      <w:r w:rsidRPr="006E3C4E">
        <w:rPr>
          <w:lang w:val="en-US"/>
        </w:rPr>
        <w:t>fără</w:t>
      </w:r>
      <w:proofErr w:type="spellEnd"/>
      <w:r w:rsidRPr="006E3C4E">
        <w:rPr>
          <w:lang w:val="en-US"/>
        </w:rPr>
        <w:t xml:space="preserve"> a fi </w:t>
      </w:r>
      <w:proofErr w:type="spellStart"/>
      <w:r w:rsidRPr="006E3C4E">
        <w:rPr>
          <w:lang w:val="en-US"/>
        </w:rPr>
        <w:t>obligat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</w:t>
      </w:r>
      <w:proofErr w:type="spellEnd"/>
      <w:r w:rsidRPr="006E3C4E">
        <w:rPr>
          <w:lang w:val="en-US"/>
        </w:rPr>
        <w:t xml:space="preserve"> </w:t>
      </w:r>
      <w:proofErr w:type="spellStart"/>
      <w:r w:rsidR="00C7739C">
        <w:rPr>
          <w:lang w:val="en-US"/>
        </w:rPr>
        <w:t>p</w:t>
      </w:r>
      <w:r w:rsidRPr="006E3C4E">
        <w:rPr>
          <w:lang w:val="en-US"/>
        </w:rPr>
        <w:t>rezinte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justificări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celorlalți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ofertanți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Prezentei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achizitii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i</w:t>
      </w:r>
      <w:proofErr w:type="spellEnd"/>
      <w:r w:rsidRPr="006E3C4E">
        <w:rPr>
          <w:lang w:val="en-US"/>
        </w:rPr>
        <w:t xml:space="preserve"> se </w:t>
      </w:r>
      <w:proofErr w:type="spellStart"/>
      <w:r w:rsidRPr="006E3C4E">
        <w:rPr>
          <w:lang w:val="en-US"/>
        </w:rPr>
        <w:t>aplica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prevederile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referitoare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solutionarea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contestatiilor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catre</w:t>
      </w:r>
      <w:proofErr w:type="spellEnd"/>
      <w:r w:rsidRPr="006E3C4E">
        <w:rPr>
          <w:lang w:val="en-US"/>
        </w:rPr>
        <w:t xml:space="preserve"> CNSC, </w:t>
      </w:r>
      <w:proofErr w:type="spellStart"/>
      <w:r w:rsidRPr="006E3C4E">
        <w:rPr>
          <w:lang w:val="en-US"/>
        </w:rPr>
        <w:t>achizitia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directa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nefiind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procedura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atribuire</w:t>
      </w:r>
      <w:proofErr w:type="spellEnd"/>
      <w:r w:rsidRPr="006E3C4E">
        <w:rPr>
          <w:lang w:val="en-US"/>
        </w:rPr>
        <w:t xml:space="preserve"> a </w:t>
      </w:r>
      <w:proofErr w:type="spellStart"/>
      <w:r w:rsidRPr="006E3C4E">
        <w:rPr>
          <w:lang w:val="en-US"/>
        </w:rPr>
        <w:t>unui</w:t>
      </w:r>
      <w:proofErr w:type="spellEnd"/>
      <w:r w:rsidRPr="006E3C4E">
        <w:rPr>
          <w:lang w:val="en-US"/>
        </w:rPr>
        <w:t xml:space="preserve"> contract de </w:t>
      </w:r>
      <w:proofErr w:type="spellStart"/>
      <w:r w:rsidRPr="006E3C4E">
        <w:rPr>
          <w:lang w:val="en-US"/>
        </w:rPr>
        <w:t>achizitie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publica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>Data _____/_____/_____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...............................................................................,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nume</w:t>
      </w:r>
      <w:proofErr w:type="spellEnd"/>
      <w:r w:rsidRPr="006E3C4E">
        <w:rPr>
          <w:i/>
          <w:lang w:val="en-US"/>
        </w:rPr>
        <w:t xml:space="preserve">, </w:t>
      </w:r>
      <w:proofErr w:type="spellStart"/>
      <w:r w:rsidRPr="006E3C4E">
        <w:rPr>
          <w:i/>
          <w:lang w:val="en-US"/>
        </w:rPr>
        <w:t>prenume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semnătură</w:t>
      </w:r>
      <w:proofErr w:type="spellEnd"/>
      <w:r w:rsidRPr="006E3C4E">
        <w:rPr>
          <w:i/>
          <w:lang w:val="en-US"/>
        </w:rPr>
        <w:t xml:space="preserve">),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proofErr w:type="spellStart"/>
      <w:r w:rsidRPr="006E3C4E">
        <w:rPr>
          <w:i/>
          <w:lang w:val="en-US"/>
        </w:rPr>
        <w:t>î</w:t>
      </w:r>
      <w:r w:rsidRPr="006E3C4E">
        <w:rPr>
          <w:lang w:val="en-US"/>
        </w:rPr>
        <w:t>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calitate</w:t>
      </w:r>
      <w:proofErr w:type="spellEnd"/>
      <w:r w:rsidRPr="006E3C4E">
        <w:rPr>
          <w:lang w:val="en-US"/>
        </w:rPr>
        <w:t xml:space="preserve"> de ............................................ legal </w:t>
      </w:r>
      <w:proofErr w:type="spellStart"/>
      <w:r w:rsidRPr="006E3C4E">
        <w:rPr>
          <w:lang w:val="en-US"/>
        </w:rPr>
        <w:t>autorizat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semnez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numele</w:t>
      </w:r>
      <w:proofErr w:type="spellEnd"/>
      <w:r w:rsidRPr="006E3C4E">
        <w:rPr>
          <w:lang w:val="en-US"/>
        </w:rPr>
        <w:t xml:space="preserve"> </w:t>
      </w:r>
      <w:r w:rsidRPr="006E3C4E">
        <w:rPr>
          <w:i/>
          <w:lang w:val="en-US"/>
        </w:rPr>
        <w:t xml:space="preserve">..........................................................................  </w:t>
      </w:r>
    </w:p>
    <w:p w:rsidR="006E3C4E" w:rsidRPr="006E3C4E" w:rsidRDefault="006E3C4E" w:rsidP="00C7739C">
      <w:pPr>
        <w:spacing w:after="0"/>
        <w:rPr>
          <w:b/>
          <w:lang w:val="en-US"/>
        </w:rPr>
      </w:pPr>
    </w:p>
    <w:p w:rsidR="003F35DF" w:rsidRDefault="003F35DF" w:rsidP="00C7739C">
      <w:pPr>
        <w:spacing w:after="0"/>
      </w:pPr>
    </w:p>
    <w:sectPr w:rsidR="003F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E"/>
    <w:rsid w:val="000276C0"/>
    <w:rsid w:val="00357D6F"/>
    <w:rsid w:val="003F35DF"/>
    <w:rsid w:val="004C0395"/>
    <w:rsid w:val="006E3C4E"/>
    <w:rsid w:val="00C7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321DD"/>
  <w15:chartTrackingRefBased/>
  <w15:docId w15:val="{D739587E-8AA1-41BD-8813-3B3F1CF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2025-02-10T16:43:00Z</dcterms:created>
  <dcterms:modified xsi:type="dcterms:W3CDTF">2025-06-03T08:14:00Z</dcterms:modified>
</cp:coreProperties>
</file>